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64" w:rsidRPr="009C7CBC" w:rsidRDefault="00C42564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42564" w:rsidTr="00C42564">
        <w:tc>
          <w:tcPr>
            <w:tcW w:w="1696" w:type="dxa"/>
          </w:tcPr>
          <w:p w:rsidR="00C42564" w:rsidRDefault="00C425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CBC">
              <w:rPr>
                <w:rFonts w:ascii="Arial" w:hAnsi="Arial" w:cs="Arial"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19472AFE" wp14:editId="5A49249E">
                  <wp:extent cx="837565" cy="829945"/>
                  <wp:effectExtent l="0" t="0" r="635" b="8255"/>
                  <wp:docPr id="2" name="Slika 2" descr="thumb_Eko_skla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_Eko_skla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C42564" w:rsidRDefault="00C425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CBC">
              <w:rPr>
                <w:rFonts w:ascii="Arial" w:hAnsi="Arial" w:cs="Arial"/>
                <w:i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2296BE4" wp14:editId="7A1CDC7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707390" cy="918845"/>
                  <wp:effectExtent l="0" t="0" r="0" b="0"/>
                  <wp:wrapSquare wrapText="bothSides"/>
                  <wp:docPr id="4" name="Slika 4" descr="slikaENS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ENS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2564" w:rsidRDefault="00C42564">
      <w:pPr>
        <w:rPr>
          <w:rFonts w:ascii="Arial" w:hAnsi="Arial" w:cs="Arial"/>
          <w:b/>
          <w:i/>
          <w:sz w:val="20"/>
          <w:szCs w:val="20"/>
        </w:rPr>
      </w:pPr>
    </w:p>
    <w:p w:rsidR="00C42564" w:rsidRDefault="00C42564">
      <w:pPr>
        <w:rPr>
          <w:rFonts w:ascii="Arial" w:hAnsi="Arial" w:cs="Arial"/>
          <w:b/>
          <w:i/>
          <w:sz w:val="20"/>
          <w:szCs w:val="20"/>
        </w:rPr>
      </w:pPr>
    </w:p>
    <w:p w:rsidR="00856458" w:rsidRPr="00436D4E" w:rsidRDefault="00C375C4" w:rsidP="00C4256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Ogrevanje z električno energijo</w:t>
      </w:r>
      <w:r w:rsidR="00DE1717" w:rsidRPr="00436D4E">
        <w:rPr>
          <w:rFonts w:ascii="Arial" w:hAnsi="Arial" w:cs="Arial"/>
          <w:b/>
          <w:i/>
          <w:sz w:val="20"/>
          <w:szCs w:val="20"/>
        </w:rPr>
        <w:t xml:space="preserve"> oz. </w:t>
      </w:r>
      <w:r w:rsidR="009E6CAB" w:rsidRPr="00436D4E">
        <w:rPr>
          <w:rFonts w:ascii="Arial" w:hAnsi="Arial" w:cs="Arial"/>
          <w:b/>
          <w:i/>
          <w:sz w:val="20"/>
          <w:szCs w:val="20"/>
        </w:rPr>
        <w:t>toplotnimi črpalkami</w:t>
      </w:r>
    </w:p>
    <w:p w:rsidR="00C375C4" w:rsidRPr="00DE1717" w:rsidRDefault="00C375C4">
      <w:pPr>
        <w:rPr>
          <w:rFonts w:ascii="Arial" w:hAnsi="Arial" w:cs="Arial"/>
          <w:i/>
          <w:sz w:val="20"/>
          <w:szCs w:val="20"/>
        </w:rPr>
      </w:pPr>
    </w:p>
    <w:p w:rsidR="00C375C4" w:rsidRPr="00DE1717" w:rsidRDefault="00C375C4">
      <w:p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V zadnjem času je zaznati precejšen porast zanimanja za električne toplovodne kotle za centralno  ogrevanje. Kaj je temu vzrok, ali je to pravilna odločitev</w:t>
      </w:r>
      <w:r w:rsidR="009E6CAB" w:rsidRPr="00DE1717">
        <w:rPr>
          <w:rFonts w:ascii="Arial" w:hAnsi="Arial" w:cs="Arial"/>
          <w:i/>
          <w:sz w:val="20"/>
          <w:szCs w:val="20"/>
        </w:rPr>
        <w:t>, ko se odločamo o izbiri energenta za ogrevanje</w:t>
      </w:r>
      <w:r w:rsidRPr="00DE1717">
        <w:rPr>
          <w:rFonts w:ascii="Arial" w:hAnsi="Arial" w:cs="Arial"/>
          <w:i/>
          <w:sz w:val="20"/>
          <w:szCs w:val="20"/>
        </w:rPr>
        <w:t xml:space="preserve"> ? Poglejmo nekaj argumentov za in proti, v primerjavi z toplotnimi črpalkami.</w:t>
      </w:r>
    </w:p>
    <w:p w:rsidR="00EB3BD0" w:rsidRPr="00DE1717" w:rsidRDefault="00EB3BD0">
      <w:pPr>
        <w:rPr>
          <w:rFonts w:ascii="Arial" w:hAnsi="Arial" w:cs="Arial"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Za</w:t>
      </w:r>
      <w:r w:rsidRPr="00DE1717">
        <w:rPr>
          <w:rFonts w:ascii="Arial" w:hAnsi="Arial" w:cs="Arial"/>
          <w:i/>
          <w:sz w:val="20"/>
          <w:szCs w:val="20"/>
        </w:rPr>
        <w:t xml:space="preserve"> ogrevanje z električno energijo:</w:t>
      </w:r>
    </w:p>
    <w:p w:rsidR="004A3699" w:rsidRPr="00DE1717" w:rsidRDefault="004A3699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Ogrevanje z električno energijo je bilo do sprejetja novega EZ</w:t>
      </w:r>
      <w:r w:rsidR="00DE1717">
        <w:rPr>
          <w:rFonts w:ascii="Arial" w:hAnsi="Arial" w:cs="Arial"/>
          <w:i/>
          <w:sz w:val="20"/>
          <w:szCs w:val="20"/>
        </w:rPr>
        <w:t xml:space="preserve"> </w:t>
      </w:r>
      <w:r w:rsidRPr="00DE1717">
        <w:rPr>
          <w:rFonts w:ascii="Arial" w:hAnsi="Arial" w:cs="Arial"/>
          <w:i/>
          <w:sz w:val="20"/>
          <w:szCs w:val="20"/>
        </w:rPr>
        <w:t>(energetskega zakona) prepovedano kot osnovna izvedba ogrevanja (razen ko ni drugih možnosti, oz. ogrevanje manjših površin)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. Teh omejitev ni več, zato je opaziti povečano aktivnost oglaševanja </w:t>
      </w:r>
      <w:r w:rsidR="00436D4E">
        <w:rPr>
          <w:rFonts w:ascii="Arial" w:hAnsi="Arial" w:cs="Arial"/>
          <w:i/>
          <w:sz w:val="20"/>
          <w:szCs w:val="20"/>
        </w:rPr>
        <w:t xml:space="preserve">naprav za </w:t>
      </w:r>
      <w:r w:rsidR="006714DF" w:rsidRPr="00DE1717">
        <w:rPr>
          <w:rFonts w:ascii="Arial" w:hAnsi="Arial" w:cs="Arial"/>
          <w:i/>
          <w:sz w:val="20"/>
          <w:szCs w:val="20"/>
        </w:rPr>
        <w:t>ogrevanj</w:t>
      </w:r>
      <w:r w:rsidR="00436D4E">
        <w:rPr>
          <w:rFonts w:ascii="Arial" w:hAnsi="Arial" w:cs="Arial"/>
          <w:i/>
          <w:sz w:val="20"/>
          <w:szCs w:val="20"/>
        </w:rPr>
        <w:t>e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 na električno energijo.</w:t>
      </w:r>
    </w:p>
    <w:p w:rsidR="00436D4E" w:rsidRDefault="006714DF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Investicija </w:t>
      </w:r>
      <w:r w:rsidR="00EB3BD0" w:rsidRPr="00DE1717">
        <w:rPr>
          <w:rFonts w:ascii="Arial" w:hAnsi="Arial" w:cs="Arial"/>
          <w:i/>
          <w:sz w:val="20"/>
          <w:szCs w:val="20"/>
        </w:rPr>
        <w:t>cenovno</w:t>
      </w:r>
      <w:r w:rsidRPr="00DE1717">
        <w:rPr>
          <w:rFonts w:ascii="Arial" w:hAnsi="Arial" w:cs="Arial"/>
          <w:i/>
          <w:sz w:val="20"/>
          <w:szCs w:val="20"/>
        </w:rPr>
        <w:t xml:space="preserve"> ugodna –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to drži, saj se cene toplovodnih električnih kotlov </w:t>
      </w:r>
      <w:r w:rsidR="00DE1717">
        <w:rPr>
          <w:rFonts w:ascii="Arial" w:hAnsi="Arial" w:cs="Arial"/>
          <w:i/>
          <w:sz w:val="20"/>
          <w:szCs w:val="20"/>
        </w:rPr>
        <w:t xml:space="preserve">gibljejo med 600 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in 800</w:t>
      </w:r>
      <w:r w:rsidR="00DE1717">
        <w:rPr>
          <w:rFonts w:ascii="Arial" w:hAnsi="Arial" w:cs="Arial"/>
          <w:i/>
          <w:sz w:val="20"/>
          <w:szCs w:val="20"/>
        </w:rPr>
        <w:t xml:space="preserve"> </w:t>
      </w:r>
      <w:r w:rsidR="00EB3BD0" w:rsidRPr="00DE1717">
        <w:rPr>
          <w:rFonts w:ascii="Arial" w:hAnsi="Arial" w:cs="Arial"/>
          <w:i/>
          <w:sz w:val="20"/>
          <w:szCs w:val="20"/>
        </w:rPr>
        <w:t xml:space="preserve"> €, kar je v primerjavi z TČ (toplotnimi črpalkami) v grobem 10</w:t>
      </w:r>
      <w:r w:rsidR="009E6CAB" w:rsidRPr="00DE1717">
        <w:rPr>
          <w:rFonts w:ascii="Arial" w:hAnsi="Arial" w:cs="Arial"/>
          <w:i/>
          <w:sz w:val="20"/>
          <w:szCs w:val="20"/>
        </w:rPr>
        <w:t xml:space="preserve"> </w:t>
      </w:r>
      <w:r w:rsidR="00EB3BD0" w:rsidRPr="00DE1717">
        <w:rPr>
          <w:rFonts w:ascii="Arial" w:hAnsi="Arial" w:cs="Arial"/>
          <w:i/>
          <w:sz w:val="20"/>
          <w:szCs w:val="20"/>
        </w:rPr>
        <w:t>krat nižja investicija.</w:t>
      </w:r>
      <w:r w:rsidRPr="00DE1717">
        <w:rPr>
          <w:rFonts w:ascii="Arial" w:hAnsi="Arial" w:cs="Arial"/>
          <w:i/>
          <w:sz w:val="20"/>
          <w:szCs w:val="20"/>
        </w:rPr>
        <w:t xml:space="preserve"> </w:t>
      </w:r>
    </w:p>
    <w:p w:rsidR="006714DF" w:rsidRPr="00DE1717" w:rsidRDefault="00436D4E" w:rsidP="006714DF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Dopolnitev osnovnemu ogrevanju, za pokrivanje konic potreb po toploti z napravami kot so</w:t>
      </w:r>
      <w:r w:rsidR="006714DF" w:rsidRPr="00DE17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razni električni paneli, </w:t>
      </w:r>
      <w:proofErr w:type="spellStart"/>
      <w:r>
        <w:rPr>
          <w:rFonts w:ascii="Arial" w:hAnsi="Arial" w:cs="Arial"/>
          <w:i/>
          <w:sz w:val="20"/>
          <w:szCs w:val="20"/>
        </w:rPr>
        <w:t>konvektorji</w:t>
      </w:r>
      <w:proofErr w:type="spellEnd"/>
      <w:r>
        <w:rPr>
          <w:rFonts w:ascii="Arial" w:hAnsi="Arial" w:cs="Arial"/>
          <w:i/>
          <w:sz w:val="20"/>
          <w:szCs w:val="20"/>
        </w:rPr>
        <w:t>, kaloriferji je upravičljivo, saj gre za naprave manjših moči in nizki nabavni vrednosti – do 100  €.</w:t>
      </w:r>
    </w:p>
    <w:p w:rsidR="00EB3BD0" w:rsidRPr="00DE1717" w:rsidRDefault="00EB3BD0" w:rsidP="00EB3BD0">
      <w:pPr>
        <w:rPr>
          <w:rFonts w:ascii="Arial" w:hAnsi="Arial" w:cs="Arial"/>
          <w:i/>
          <w:sz w:val="20"/>
          <w:szCs w:val="20"/>
        </w:rPr>
      </w:pPr>
      <w:r w:rsidRPr="00436D4E">
        <w:rPr>
          <w:rFonts w:ascii="Arial" w:hAnsi="Arial" w:cs="Arial"/>
          <w:b/>
          <w:i/>
          <w:sz w:val="20"/>
          <w:szCs w:val="20"/>
        </w:rPr>
        <w:t>Proti</w:t>
      </w:r>
      <w:r w:rsidRPr="00DE1717">
        <w:rPr>
          <w:rFonts w:ascii="Arial" w:hAnsi="Arial" w:cs="Arial"/>
          <w:i/>
          <w:sz w:val="20"/>
          <w:szCs w:val="20"/>
        </w:rPr>
        <w:t xml:space="preserve"> ogrevanju z električno energijo:</w:t>
      </w:r>
    </w:p>
    <w:p w:rsidR="00EB3BD0" w:rsidRPr="00DE1717" w:rsidRDefault="00EB3BD0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Ogrevanje z električno energijo ni priporočljivo, saj je električna energije </w:t>
      </w:r>
      <w:r w:rsidR="003F4AD4">
        <w:rPr>
          <w:rFonts w:ascii="Arial" w:hAnsi="Arial" w:cs="Arial"/>
          <w:i/>
          <w:sz w:val="20"/>
          <w:szCs w:val="20"/>
        </w:rPr>
        <w:t>»</w:t>
      </w:r>
      <w:proofErr w:type="spellStart"/>
      <w:r w:rsidR="003F4AD4">
        <w:rPr>
          <w:rFonts w:ascii="Arial" w:hAnsi="Arial" w:cs="Arial"/>
          <w:i/>
          <w:sz w:val="20"/>
          <w:szCs w:val="20"/>
        </w:rPr>
        <w:t>prekvalitetna</w:t>
      </w:r>
      <w:proofErr w:type="spellEnd"/>
      <w:r w:rsidR="003F4AD4">
        <w:rPr>
          <w:rFonts w:ascii="Arial" w:hAnsi="Arial" w:cs="Arial"/>
          <w:i/>
          <w:sz w:val="20"/>
          <w:szCs w:val="20"/>
        </w:rPr>
        <w:t xml:space="preserve">« </w:t>
      </w:r>
      <w:r w:rsidRPr="00DE1717">
        <w:rPr>
          <w:rFonts w:ascii="Arial" w:hAnsi="Arial" w:cs="Arial"/>
          <w:i/>
          <w:sz w:val="20"/>
          <w:szCs w:val="20"/>
        </w:rPr>
        <w:t>energija za</w:t>
      </w:r>
      <w:r w:rsidR="000B43E8" w:rsidRPr="00DE1717">
        <w:rPr>
          <w:rFonts w:ascii="Arial" w:hAnsi="Arial" w:cs="Arial"/>
          <w:i/>
          <w:sz w:val="20"/>
          <w:szCs w:val="20"/>
        </w:rPr>
        <w:t xml:space="preserve"> neposredno spreminjanje v toplotno energijo</w:t>
      </w:r>
      <w:r w:rsidRPr="00DE1717">
        <w:rPr>
          <w:rFonts w:ascii="Arial" w:hAnsi="Arial" w:cs="Arial"/>
          <w:i/>
          <w:sz w:val="20"/>
          <w:szCs w:val="20"/>
        </w:rPr>
        <w:t>. Upravičeno je le tam, kjer druge možnosti ogrevanja ni.</w:t>
      </w:r>
    </w:p>
    <w:p w:rsidR="00783AA4" w:rsidRPr="00DE1717" w:rsidRDefault="00783AA4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Raba električne energije ni energijsko učinkovita, saj izgube med primarno in koristno energijo znašajo približno 2/3 proizvedene električne energije.</w:t>
      </w:r>
    </w:p>
    <w:p w:rsidR="00783AA4" w:rsidRPr="00DE1717" w:rsidRDefault="00783AA4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Precejšnji del električne energije pri nas proizvedemo v termoelektrarnah in je zato </w:t>
      </w:r>
      <w:r w:rsidR="00DE1717">
        <w:rPr>
          <w:rFonts w:ascii="Arial" w:hAnsi="Arial" w:cs="Arial"/>
          <w:i/>
          <w:sz w:val="20"/>
          <w:szCs w:val="20"/>
        </w:rPr>
        <w:t xml:space="preserve">to </w:t>
      </w:r>
      <w:proofErr w:type="spellStart"/>
      <w:r w:rsidRPr="00DE1717">
        <w:rPr>
          <w:rFonts w:ascii="Arial" w:hAnsi="Arial" w:cs="Arial"/>
          <w:i/>
          <w:sz w:val="20"/>
          <w:szCs w:val="20"/>
        </w:rPr>
        <w:t>okoljsko</w:t>
      </w:r>
      <w:proofErr w:type="spellEnd"/>
      <w:r w:rsidRPr="00DE1717">
        <w:rPr>
          <w:rFonts w:ascii="Arial" w:hAnsi="Arial" w:cs="Arial"/>
          <w:i/>
          <w:sz w:val="20"/>
          <w:szCs w:val="20"/>
        </w:rPr>
        <w:t xml:space="preserve"> </w:t>
      </w:r>
      <w:r w:rsidR="009E6CAB" w:rsidRPr="00DE1717">
        <w:rPr>
          <w:rFonts w:ascii="Arial" w:hAnsi="Arial" w:cs="Arial"/>
          <w:i/>
          <w:sz w:val="20"/>
          <w:szCs w:val="20"/>
        </w:rPr>
        <w:t>nesprejemljiva</w:t>
      </w:r>
      <w:r w:rsidRPr="00DE1717">
        <w:rPr>
          <w:rFonts w:ascii="Arial" w:hAnsi="Arial" w:cs="Arial"/>
          <w:i/>
          <w:sz w:val="20"/>
          <w:szCs w:val="20"/>
        </w:rPr>
        <w:t xml:space="preserve"> varianta</w:t>
      </w:r>
    </w:p>
    <w:p w:rsidR="00EB3BD0" w:rsidRPr="00DE1717" w:rsidRDefault="00EB3BD0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Stroški ogrevanja so zelo visoki, saj TČ v primerjavi z električnim kotlov porabi 3 do 5krat manj električne energije za ogrevanje (cenovno popolnoma obrnjena slika kot pri investiciji).</w:t>
      </w:r>
    </w:p>
    <w:p w:rsidR="009E6CAB" w:rsidRPr="00DE1717" w:rsidRDefault="009E6CAB" w:rsidP="009E6CAB">
      <w:pPr>
        <w:pStyle w:val="Odstavekseznama"/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To nam lepo prikazuje spodnji graf, kateri nam prikazuje ceno toplot</w:t>
      </w:r>
      <w:r w:rsidR="00DE1717">
        <w:rPr>
          <w:rFonts w:ascii="Arial" w:hAnsi="Arial" w:cs="Arial"/>
          <w:i/>
          <w:sz w:val="20"/>
          <w:szCs w:val="20"/>
        </w:rPr>
        <w:t>n</w:t>
      </w:r>
      <w:r w:rsidRPr="00DE1717">
        <w:rPr>
          <w:rFonts w:ascii="Arial" w:hAnsi="Arial" w:cs="Arial"/>
          <w:i/>
          <w:sz w:val="20"/>
          <w:szCs w:val="20"/>
        </w:rPr>
        <w:t xml:space="preserve">e </w:t>
      </w:r>
      <w:r w:rsidR="00DE1717">
        <w:rPr>
          <w:rFonts w:ascii="Arial" w:hAnsi="Arial" w:cs="Arial"/>
          <w:i/>
          <w:sz w:val="20"/>
          <w:szCs w:val="20"/>
        </w:rPr>
        <w:t xml:space="preserve">energije </w:t>
      </w:r>
      <w:r w:rsidRPr="00DE1717">
        <w:rPr>
          <w:rFonts w:ascii="Arial" w:hAnsi="Arial" w:cs="Arial"/>
          <w:i/>
          <w:sz w:val="20"/>
          <w:szCs w:val="20"/>
        </w:rPr>
        <w:t>pridobljeno iz posameznega energenta.</w:t>
      </w:r>
    </w:p>
    <w:p w:rsidR="009E6CAB" w:rsidRPr="00DE1717" w:rsidRDefault="009E6CAB" w:rsidP="00EB3BD0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 xml:space="preserve">Toplotna črpalka porablja električno energijo za pogon, da lahko iz medija/okolice jemlje toplotno energijo, ki je </w:t>
      </w:r>
      <w:proofErr w:type="spellStart"/>
      <w:r w:rsidRPr="00DE1717">
        <w:rPr>
          <w:rFonts w:ascii="Arial" w:hAnsi="Arial" w:cs="Arial"/>
          <w:i/>
          <w:sz w:val="20"/>
          <w:szCs w:val="20"/>
        </w:rPr>
        <w:t>zastojn</w:t>
      </w:r>
      <w:proofErr w:type="spellEnd"/>
      <w:r w:rsidRPr="00DE1717">
        <w:rPr>
          <w:rFonts w:ascii="Arial" w:hAnsi="Arial" w:cs="Arial"/>
          <w:i/>
          <w:sz w:val="20"/>
          <w:szCs w:val="20"/>
        </w:rPr>
        <w:t>.</w:t>
      </w:r>
    </w:p>
    <w:p w:rsidR="009E6CAB" w:rsidRPr="00DE1717" w:rsidRDefault="009E6CAB" w:rsidP="009E6CAB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color w:val="000000"/>
          <w:sz w:val="20"/>
          <w:szCs w:val="20"/>
        </w:rPr>
        <w:t>Ocene strokovnjakov, pa tudi samih dobavitelji električne energije za gospodinjstva kažejo, da je cena električne energije podcenjena, zato se napovedujejo podražitve</w:t>
      </w:r>
      <w:r w:rsidR="003F4AD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292602" w:rsidRPr="00DE1717" w:rsidRDefault="00292602" w:rsidP="00292602">
      <w:pPr>
        <w:pStyle w:val="Odstavekseznama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Ugodnih ekoloških kreditov in nepovratnih sredstev za te namene ni, so pa za obnovljive vire, kamor spada TČ.</w:t>
      </w:r>
    </w:p>
    <w:p w:rsidR="00292602" w:rsidRPr="00DE1717" w:rsidRDefault="00292602" w:rsidP="00292602">
      <w:pPr>
        <w:pStyle w:val="Brezrazmikov"/>
        <w:numPr>
          <w:ilvl w:val="0"/>
          <w:numId w:val="1"/>
        </w:numPr>
        <w:rPr>
          <w:rFonts w:ascii="Arial" w:hAnsi="Arial" w:cs="Arial"/>
          <w:i/>
          <w:color w:val="000000"/>
          <w:sz w:val="20"/>
          <w:szCs w:val="20"/>
        </w:rPr>
      </w:pPr>
      <w:r w:rsidRPr="00DE1717">
        <w:rPr>
          <w:rFonts w:ascii="Arial" w:hAnsi="Arial" w:cs="Arial"/>
          <w:i/>
          <w:color w:val="000000"/>
          <w:sz w:val="20"/>
          <w:szCs w:val="20"/>
        </w:rPr>
        <w:t>Električni kotel ima navadno tudi precej veliko priključno moč, preverimo ali nam naš električni priključek omogoča takšno priključitev in kakšni so stroški ob morebitni potrebni spremembi priključne moči.</w:t>
      </w:r>
    </w:p>
    <w:p w:rsidR="00292602" w:rsidRPr="00DE1717" w:rsidRDefault="00292602" w:rsidP="000B43E8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0B43E8" w:rsidRPr="00DE1717" w:rsidRDefault="000B43E8" w:rsidP="000B43E8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0B43E8" w:rsidRPr="00DE1717" w:rsidRDefault="000B43E8" w:rsidP="000B43E8">
      <w:pPr>
        <w:pStyle w:val="Odstavekseznama"/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hAnsi="Arial" w:cs="Arial"/>
          <w:i/>
          <w:sz w:val="20"/>
          <w:szCs w:val="20"/>
        </w:rPr>
        <w:t>Torej če na kratko povzamemo: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Ogrevanje stanovanj in stanovanjskih stavb z električno energijo: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lastRenderedPageBreak/>
        <w:t xml:space="preserve">- ni gospodarno (približno četrtino električne energije uvažamo), 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- ni obetavno (kakšne bodo cene električne energije v prihodnje…)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- ni ekološko sprejemljivo (termoelektrarne)</w:t>
      </w:r>
    </w:p>
    <w:p w:rsidR="000B43E8" w:rsidRPr="00DE1717" w:rsidRDefault="000B43E8" w:rsidP="000B43E8">
      <w:pP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in zato ni priporočljivo. Dopustno je le izjemoma, ko ni druge boljše izbire, </w:t>
      </w:r>
      <w:r w:rsidR="00DE1717"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kjer ni daljinskega ogrevanja,</w:t>
      </w: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kjer ni zemeljskega plina in kjer ni možno lokalno ogrevanje s trdnimi ali drugimi gorivi </w:t>
      </w:r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(ni  dimnikov, ni možnosti skladiščenja energenta, </w:t>
      </w:r>
      <w:proofErr w:type="spellStart"/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ipd</w:t>
      </w:r>
      <w:proofErr w:type="spellEnd"/>
      <w:r w:rsid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)</w:t>
      </w:r>
    </w:p>
    <w:p w:rsidR="00DE1717" w:rsidRPr="00DE1717" w:rsidRDefault="00DE1717" w:rsidP="000B43E8">
      <w:pPr>
        <w:rPr>
          <w:rFonts w:ascii="Arial" w:hAnsi="Arial" w:cs="Arial"/>
          <w:i/>
          <w:sz w:val="20"/>
          <w:szCs w:val="20"/>
        </w:rPr>
      </w:pP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Žal pa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v našem vsakdanjem življenju </w:t>
      </w:r>
      <w:r w:rsidRPr="00DE1717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vse prepogosto prevlada ekonomski vidik – nizka nabavna cena kotla.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Poskušajmo našo dilemo glede izbire energenta</w:t>
      </w:r>
      <w:r w:rsidR="00C54DDF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in naprave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 xml:space="preserve"> za ogrevanje obravnavati bolj celovito, ne samo z vidika cene</w:t>
      </w:r>
      <w:r w:rsidR="00C54DDF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, ob pomoči nasvetov strokovnjakov in prišli bomo do optimalne rešitve za nas.</w:t>
      </w:r>
    </w:p>
    <w:p w:rsidR="000B43E8" w:rsidRDefault="000B43E8" w:rsidP="000B43E8">
      <w:pPr>
        <w:pStyle w:val="Odstavekseznama"/>
      </w:pPr>
    </w:p>
    <w:p w:rsidR="00EB3BD0" w:rsidRDefault="00EB3BD0" w:rsidP="00783AA4">
      <w:r>
        <w:t xml:space="preserve"> </w:t>
      </w:r>
      <w:r w:rsidR="00292602">
        <w:rPr>
          <w:noProof/>
          <w:lang w:eastAsia="sl-SI"/>
        </w:rPr>
        <w:drawing>
          <wp:inline distT="0" distB="0" distL="0" distR="0" wp14:anchorId="592212C6" wp14:editId="204C92B0">
            <wp:extent cx="5669280" cy="3442915"/>
            <wp:effectExtent l="0" t="0" r="7620" b="571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A0C" w:rsidRDefault="00666A0C" w:rsidP="00783AA4"/>
    <w:p w:rsidR="00C42564" w:rsidRDefault="00C42564" w:rsidP="00783AA4"/>
    <w:p w:rsidR="00C42564" w:rsidRDefault="00C42564" w:rsidP="00783AA4"/>
    <w:p w:rsidR="00783AA4" w:rsidRDefault="00666A0C" w:rsidP="00783AA4">
      <w:r>
        <w:rPr>
          <w:noProof/>
          <w:lang w:eastAsia="sl-SI"/>
        </w:rPr>
        <w:lastRenderedPageBreak/>
        <w:drawing>
          <wp:inline distT="0" distB="0" distL="0" distR="0" wp14:anchorId="60B83FFC" wp14:editId="177BA10F">
            <wp:extent cx="5518206" cy="27432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6A0C" w:rsidRDefault="00666A0C" w:rsidP="00783AA4">
      <w:r>
        <w:rPr>
          <w:noProof/>
          <w:lang w:eastAsia="sl-SI"/>
        </w:rPr>
        <w:drawing>
          <wp:inline distT="0" distB="0" distL="0" distR="0" wp14:anchorId="3FCAF849" wp14:editId="68A3CF8D">
            <wp:extent cx="5375082" cy="2735249"/>
            <wp:effectExtent l="0" t="0" r="0" b="825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228C" w:rsidRDefault="00F4228C" w:rsidP="00783AA4"/>
    <w:p w:rsidR="00F4228C" w:rsidRDefault="00F4228C" w:rsidP="00783AA4"/>
    <w:p w:rsidR="00F4228C" w:rsidRDefault="00F4228C" w:rsidP="00F4228C">
      <w:pPr>
        <w:pStyle w:val="Default"/>
        <w:jc w:val="center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color w:val="auto"/>
          <w:sz w:val="18"/>
          <w:szCs w:val="18"/>
        </w:rPr>
        <w:t>Lucjan Batista</w:t>
      </w:r>
    </w:p>
    <w:p w:rsidR="00F4228C" w:rsidRDefault="00F4228C" w:rsidP="00F4228C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Energetski svetovalec mreže ENSVET</w:t>
      </w:r>
    </w:p>
    <w:p w:rsidR="00F4228C" w:rsidRDefault="00F4228C" w:rsidP="00783AA4"/>
    <w:sectPr w:rsidR="00F4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85710"/>
    <w:multiLevelType w:val="hybridMultilevel"/>
    <w:tmpl w:val="FD24F38C"/>
    <w:lvl w:ilvl="0" w:tplc="DC1CD0FC">
      <w:start w:val="62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4"/>
    <w:rsid w:val="000B43E8"/>
    <w:rsid w:val="00292602"/>
    <w:rsid w:val="003F4AD4"/>
    <w:rsid w:val="00436D4E"/>
    <w:rsid w:val="004A3699"/>
    <w:rsid w:val="0052442B"/>
    <w:rsid w:val="00666A0C"/>
    <w:rsid w:val="006714DF"/>
    <w:rsid w:val="00783AA4"/>
    <w:rsid w:val="00856458"/>
    <w:rsid w:val="009E6CAB"/>
    <w:rsid w:val="00B71C29"/>
    <w:rsid w:val="00C375C4"/>
    <w:rsid w:val="00C42564"/>
    <w:rsid w:val="00C54DDF"/>
    <w:rsid w:val="00DE1717"/>
    <w:rsid w:val="00EB3BD0"/>
    <w:rsid w:val="00F4228C"/>
    <w:rsid w:val="00F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2E7A-4E55-4E8C-86D9-EFD881C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4DF"/>
    <w:pPr>
      <w:ind w:left="720"/>
      <w:contextualSpacing/>
    </w:pPr>
  </w:style>
  <w:style w:type="paragraph" w:styleId="Brezrazmikov">
    <w:name w:val="No Spacing"/>
    <w:uiPriority w:val="1"/>
    <w:qFormat/>
    <w:rsid w:val="00292602"/>
    <w:pPr>
      <w:spacing w:after="0" w:line="240" w:lineRule="auto"/>
    </w:pPr>
  </w:style>
  <w:style w:type="table" w:styleId="Tabelamrea">
    <w:name w:val="Table Grid"/>
    <w:basedOn w:val="Navadnatabela"/>
    <w:uiPriority w:val="39"/>
    <w:rsid w:val="00C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ov_delovni_lis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ov_delovni_lis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CENE KORISTNE ENERGIJE</a:t>
            </a:r>
          </a:p>
        </c:rich>
      </c:tx>
      <c:layout>
        <c:manualLayout>
          <c:xMode val="edge"/>
          <c:yMode val="edge"/>
          <c:x val="0.32245432897046811"/>
          <c:y val="2.83554694874277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943039404842607"/>
          <c:y val="0.10551522127019507"/>
          <c:w val="0.83890639760222563"/>
          <c:h val="0.5009456419704427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2"/>
            <c:invertIfNegative val="0"/>
            <c:bubble3D val="0"/>
          </c:dPt>
          <c:cat>
            <c:strRef>
              <c:f>'Cene energije'!$A$5:$A$28</c:f>
              <c:strCache>
                <c:ptCount val="21"/>
                <c:pt idx="0">
                  <c:v>UNP (propan-butan) </c:v>
                </c:pt>
                <c:pt idx="2">
                  <c:v>Električna energija - povprečje</c:v>
                </c:pt>
                <c:pt idx="4">
                  <c:v>Kurilno olje - ELKO</c:v>
                </c:pt>
                <c:pt idx="6">
                  <c:v>Zemeljski plin</c:v>
                </c:pt>
                <c:pt idx="8">
                  <c:v>Peleti smrekovi</c:v>
                </c:pt>
                <c:pt idx="10">
                  <c:v>Peleti bukovi, mešani</c:v>
                </c:pt>
                <c:pt idx="12">
                  <c:v>Polena bukova -navadna kurišča kurišča</c:v>
                </c:pt>
                <c:pt idx="14">
                  <c:v>Toplotna črpalka zrak/voda,COP=3,5</c:v>
                </c:pt>
                <c:pt idx="16">
                  <c:v>Toplotna črpalka zemlja/voda COP=4,5</c:v>
                </c:pt>
                <c:pt idx="18">
                  <c:v>Polena bukova - prezračevana kurišča</c:v>
                </c:pt>
                <c:pt idx="20">
                  <c:v>Sekanci</c:v>
                </c:pt>
              </c:strCache>
            </c:strRef>
          </c:cat>
          <c:val>
            <c:numRef>
              <c:f>'Cene energije'!$I$5:$I$28</c:f>
              <c:numCache>
                <c:formatCode>General</c:formatCode>
                <c:ptCount val="24"/>
                <c:pt idx="0" formatCode="0.0000">
                  <c:v>0.1367283950617284</c:v>
                </c:pt>
                <c:pt idx="2" formatCode="0.0000">
                  <c:v>0.12315789473684212</c:v>
                </c:pt>
                <c:pt idx="4" formatCode="0.0000">
                  <c:v>9.1176470588235289E-2</c:v>
                </c:pt>
                <c:pt idx="6" formatCode="0.0000">
                  <c:v>8.0467836257309938E-2</c:v>
                </c:pt>
                <c:pt idx="8" formatCode="0.0000">
                  <c:v>5.5555555555555559E-2</c:v>
                </c:pt>
                <c:pt idx="10" formatCode="0.0000">
                  <c:v>5.1111111111111107E-2</c:v>
                </c:pt>
                <c:pt idx="12" formatCode="0.0000">
                  <c:v>3.4578146611341634E-2</c:v>
                </c:pt>
                <c:pt idx="14" formatCode="0.0000">
                  <c:v>3.3428571428571432E-2</c:v>
                </c:pt>
                <c:pt idx="16" formatCode="0.0000">
                  <c:v>2.6000000000000002E-2</c:v>
                </c:pt>
                <c:pt idx="18" formatCode="0.0000">
                  <c:v>2.4408103490358799E-2</c:v>
                </c:pt>
                <c:pt idx="20" formatCode="0.0000">
                  <c:v>2.3529411764705882E-2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-1715935392"/>
        <c:axId val="-1715934848"/>
      </c:barChart>
      <c:catAx>
        <c:axId val="-1715935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1000"/>
                  <a:t>ENERGENTI</a:t>
                </a:r>
              </a:p>
            </c:rich>
          </c:tx>
          <c:layout>
            <c:manualLayout>
              <c:xMode val="edge"/>
              <c:yMode val="edge"/>
              <c:x val="0.34462889605658459"/>
              <c:y val="0.9195806938606357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-1715934848"/>
        <c:crosses val="autoZero"/>
        <c:auto val="1"/>
        <c:lblAlgn val="ctr"/>
        <c:lblOffset val="100"/>
        <c:noMultiLvlLbl val="0"/>
      </c:catAx>
      <c:valAx>
        <c:axId val="-17159348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l-SI" sz="1000"/>
                  <a:t>CENA ENERGIJE €/Kwh
</a:t>
                </a:r>
              </a:p>
            </c:rich>
          </c:tx>
          <c:layout>
            <c:manualLayout>
              <c:xMode val="edge"/>
              <c:yMode val="edge"/>
              <c:x val="7.5986859258486729E-3"/>
              <c:y val="0.2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-1715935392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l-SI" sz="1200" baseline="0">
                <a:latin typeface="Arial" panose="020B0604020202020204" pitchFamily="34" charset="0"/>
              </a:rPr>
              <a:t>Stroški ogrevanja </a:t>
            </a:r>
            <a:r>
              <a:rPr lang="sl-SI" sz="800" b="0" baseline="0">
                <a:latin typeface="Arial" panose="020B0604020202020204" pitchFamily="34" charset="0"/>
              </a:rPr>
              <a:t>- starejša neizolirana hiša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45967451975585"/>
          <c:y val="0.28161494970779982"/>
          <c:w val="0.71005066064940658"/>
          <c:h val="0.584722505541729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List3!$K$5</c:f>
              <c:strCache>
                <c:ptCount val="1"/>
                <c:pt idx="0">
                  <c:v>Kotel na elektriko</c:v>
                </c:pt>
              </c:strCache>
            </c:strRef>
          </c:tx>
          <c:marker>
            <c:symbol val="none"/>
          </c:marker>
          <c:xVal>
            <c:numRef>
              <c:f>List3!$L$4:$V$4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List3!$L$5:$V$5</c:f>
              <c:numCache>
                <c:formatCode>General</c:formatCode>
                <c:ptCount val="11"/>
                <c:pt idx="0">
                  <c:v>1500</c:v>
                </c:pt>
                <c:pt idx="1">
                  <c:v>3714</c:v>
                </c:pt>
                <c:pt idx="2">
                  <c:v>5928</c:v>
                </c:pt>
                <c:pt idx="3">
                  <c:v>8142</c:v>
                </c:pt>
                <c:pt idx="4">
                  <c:v>10356</c:v>
                </c:pt>
                <c:pt idx="5">
                  <c:v>12570</c:v>
                </c:pt>
                <c:pt idx="6">
                  <c:v>14784</c:v>
                </c:pt>
                <c:pt idx="7">
                  <c:v>16998</c:v>
                </c:pt>
                <c:pt idx="8">
                  <c:v>19212</c:v>
                </c:pt>
                <c:pt idx="9">
                  <c:v>21426</c:v>
                </c:pt>
                <c:pt idx="10">
                  <c:v>23640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List3!$K$6</c:f>
              <c:strCache>
                <c:ptCount val="1"/>
                <c:pt idx="0">
                  <c:v>TČ zrak/voda</c:v>
                </c:pt>
              </c:strCache>
            </c:strRef>
          </c:tx>
          <c:marker>
            <c:symbol val="none"/>
          </c:marker>
          <c:xVal>
            <c:numRef>
              <c:f>List3!$L$4:$V$4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List3!$L$6:$V$6</c:f>
              <c:numCache>
                <c:formatCode>General</c:formatCode>
                <c:ptCount val="11"/>
                <c:pt idx="0">
                  <c:v>7500</c:v>
                </c:pt>
                <c:pt idx="1">
                  <c:v>8421</c:v>
                </c:pt>
                <c:pt idx="2">
                  <c:v>9342</c:v>
                </c:pt>
                <c:pt idx="3">
                  <c:v>10263</c:v>
                </c:pt>
                <c:pt idx="4">
                  <c:v>11184</c:v>
                </c:pt>
                <c:pt idx="5">
                  <c:v>12105</c:v>
                </c:pt>
                <c:pt idx="6">
                  <c:v>13026</c:v>
                </c:pt>
                <c:pt idx="7">
                  <c:v>13947</c:v>
                </c:pt>
                <c:pt idx="8">
                  <c:v>14868</c:v>
                </c:pt>
                <c:pt idx="9">
                  <c:v>15789</c:v>
                </c:pt>
                <c:pt idx="10">
                  <c:v>16710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715930496"/>
        <c:axId val="-1715928320"/>
      </c:scatterChart>
      <c:valAx>
        <c:axId val="-1715930496"/>
        <c:scaling>
          <c:orientation val="minMax"/>
          <c:max val="1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28320"/>
        <c:crosses val="autoZero"/>
        <c:crossBetween val="midCat"/>
      </c:valAx>
      <c:valAx>
        <c:axId val="-17159283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</a:t>
                </a:r>
                <a:r>
                  <a:rPr lang="sl-SI"/>
                  <a:t>troškiv €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304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972633848335011"/>
          <c:y val="0.1451384844333258"/>
          <c:w val="0.2902974268038564"/>
          <c:h val="0.1227000387890548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l-SI" sz="1200">
                <a:latin typeface="Arial" panose="020B0604020202020204" pitchFamily="34" charset="0"/>
                <a:cs typeface="Arial" panose="020B0604020202020204" pitchFamily="34" charset="0"/>
              </a:rPr>
              <a:t>Stroški ogrevanja</a:t>
            </a:r>
            <a:r>
              <a:rPr lang="sl-SI" sz="800" b="0">
                <a:latin typeface="Arial" panose="020B0604020202020204" pitchFamily="34" charset="0"/>
                <a:cs typeface="Arial" panose="020B0604020202020204" pitchFamily="34" charset="0"/>
              </a:rPr>
              <a:t> - novejša hiša</a:t>
            </a:r>
            <a:r>
              <a:rPr lang="sl-SI" sz="800" b="0" baseline="0">
                <a:latin typeface="Arial" panose="020B0604020202020204" pitchFamily="34" charset="0"/>
                <a:cs typeface="Arial" panose="020B0604020202020204" pitchFamily="34" charset="0"/>
              </a:rPr>
              <a:t> grajena po PURES-u</a:t>
            </a:r>
            <a:endParaRPr lang="sl-SI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45967451975585"/>
          <c:y val="0.28161494970779982"/>
          <c:w val="0.74224763514788161"/>
          <c:h val="0.584722505541729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List3!$K$10</c:f>
              <c:strCache>
                <c:ptCount val="1"/>
                <c:pt idx="0">
                  <c:v>Kotel na elektriko</c:v>
                </c:pt>
              </c:strCache>
            </c:strRef>
          </c:tx>
          <c:marker>
            <c:symbol val="none"/>
          </c:marker>
          <c:xVal>
            <c:numRef>
              <c:f>List3!$L$9:$Z$9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List3!$L$10:$Z$10</c:f>
              <c:numCache>
                <c:formatCode>General</c:formatCode>
                <c:ptCount val="15"/>
                <c:pt idx="0">
                  <c:v>1500</c:v>
                </c:pt>
                <c:pt idx="1">
                  <c:v>2423</c:v>
                </c:pt>
                <c:pt idx="2">
                  <c:v>3346</c:v>
                </c:pt>
                <c:pt idx="3">
                  <c:v>4269</c:v>
                </c:pt>
                <c:pt idx="4">
                  <c:v>5192</c:v>
                </c:pt>
                <c:pt idx="5">
                  <c:v>6115</c:v>
                </c:pt>
                <c:pt idx="6">
                  <c:v>7038</c:v>
                </c:pt>
                <c:pt idx="7">
                  <c:v>7961</c:v>
                </c:pt>
                <c:pt idx="8">
                  <c:v>8884</c:v>
                </c:pt>
                <c:pt idx="9">
                  <c:v>9807</c:v>
                </c:pt>
                <c:pt idx="10">
                  <c:v>10730</c:v>
                </c:pt>
                <c:pt idx="11">
                  <c:v>11653</c:v>
                </c:pt>
                <c:pt idx="12">
                  <c:v>12576</c:v>
                </c:pt>
                <c:pt idx="13">
                  <c:v>13499</c:v>
                </c:pt>
                <c:pt idx="14">
                  <c:v>14422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List3!$K$11</c:f>
              <c:strCache>
                <c:ptCount val="1"/>
                <c:pt idx="0">
                  <c:v>TČ zrak/voda</c:v>
                </c:pt>
              </c:strCache>
            </c:strRef>
          </c:tx>
          <c:marker>
            <c:symbol val="none"/>
          </c:marker>
          <c:xVal>
            <c:numRef>
              <c:f>List3!$L$9:$Z$9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List3!$L$11:$Z$11</c:f>
              <c:numCache>
                <c:formatCode>General</c:formatCode>
                <c:ptCount val="15"/>
                <c:pt idx="0">
                  <c:v>6500</c:v>
                </c:pt>
                <c:pt idx="1">
                  <c:v>6942</c:v>
                </c:pt>
                <c:pt idx="2">
                  <c:v>7384</c:v>
                </c:pt>
                <c:pt idx="3">
                  <c:v>7826</c:v>
                </c:pt>
                <c:pt idx="4">
                  <c:v>8268</c:v>
                </c:pt>
                <c:pt idx="5">
                  <c:v>8710</c:v>
                </c:pt>
                <c:pt idx="6">
                  <c:v>9152</c:v>
                </c:pt>
                <c:pt idx="7">
                  <c:v>9594</c:v>
                </c:pt>
                <c:pt idx="8">
                  <c:v>10036</c:v>
                </c:pt>
                <c:pt idx="9">
                  <c:v>10478</c:v>
                </c:pt>
                <c:pt idx="10">
                  <c:v>10920</c:v>
                </c:pt>
                <c:pt idx="11">
                  <c:v>11362</c:v>
                </c:pt>
                <c:pt idx="12">
                  <c:v>11804</c:v>
                </c:pt>
                <c:pt idx="13">
                  <c:v>12246</c:v>
                </c:pt>
                <c:pt idx="14">
                  <c:v>12688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715925056"/>
        <c:axId val="-1715916352"/>
      </c:scatterChart>
      <c:valAx>
        <c:axId val="-1715925056"/>
        <c:scaling>
          <c:orientation val="minMax"/>
          <c:max val="1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Leto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16352"/>
        <c:crosses val="autoZero"/>
        <c:crossBetween val="midCat"/>
      </c:valAx>
      <c:valAx>
        <c:axId val="-1715916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</a:t>
                </a:r>
                <a:r>
                  <a:rPr lang="sl-SI"/>
                  <a:t>troškiv €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7159250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0644780578140743"/>
          <c:y val="0.14513838502892079"/>
          <c:w val="0.2295148870280104"/>
          <c:h val="0.1227000387890548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isarna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 Lucjan</dc:creator>
  <cp:keywords/>
  <dc:description/>
  <cp:lastModifiedBy>Batista Lucjan</cp:lastModifiedBy>
  <cp:revision>6</cp:revision>
  <dcterms:created xsi:type="dcterms:W3CDTF">2017-01-19T08:20:00Z</dcterms:created>
  <dcterms:modified xsi:type="dcterms:W3CDTF">2017-01-19T09:11:00Z</dcterms:modified>
</cp:coreProperties>
</file>